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76ED6" w14:textId="19CFB857" w:rsidR="00835760" w:rsidRPr="00835760" w:rsidRDefault="00D265F0" w:rsidP="00835760">
      <w:pPr>
        <w:jc w:val="both"/>
        <w:rPr>
          <w:rFonts w:ascii="Century Gothic" w:hAnsi="Century Gothic"/>
          <w:sz w:val="20"/>
        </w:rPr>
      </w:pPr>
      <w:bookmarkStart w:id="0" w:name="_GoBack"/>
      <w:bookmarkEnd w:id="0"/>
      <w:r>
        <w:rPr>
          <w:rFonts w:ascii="Century Gothic" w:hAnsi="Century Gothic"/>
          <w:sz w:val="20"/>
        </w:rPr>
        <w:t>20</w:t>
      </w:r>
      <w:r w:rsidR="00835760" w:rsidRPr="00835760">
        <w:rPr>
          <w:rFonts w:ascii="Century Gothic" w:hAnsi="Century Gothic"/>
          <w:sz w:val="20"/>
        </w:rPr>
        <w:t xml:space="preserve"> July 2017</w:t>
      </w:r>
    </w:p>
    <w:p w14:paraId="170B76EC" w14:textId="29CAA3BA" w:rsidR="00835760" w:rsidRPr="00835760" w:rsidRDefault="00835760" w:rsidP="00835760">
      <w:pPr>
        <w:jc w:val="both"/>
        <w:rPr>
          <w:rFonts w:ascii="Century Gothic" w:hAnsi="Century Gothic"/>
          <w:b/>
          <w:sz w:val="28"/>
        </w:rPr>
      </w:pPr>
      <w:r w:rsidRPr="00835760">
        <w:rPr>
          <w:rFonts w:ascii="Century Gothic" w:hAnsi="Century Gothic"/>
          <w:b/>
          <w:sz w:val="28"/>
        </w:rPr>
        <w:t>.</w:t>
      </w:r>
      <w:proofErr w:type="spellStart"/>
      <w:r w:rsidRPr="00835760">
        <w:rPr>
          <w:rFonts w:ascii="Century Gothic" w:hAnsi="Century Gothic"/>
          <w:b/>
          <w:sz w:val="28"/>
        </w:rPr>
        <w:t>ie</w:t>
      </w:r>
      <w:proofErr w:type="spellEnd"/>
      <w:r w:rsidRPr="00835760">
        <w:rPr>
          <w:rFonts w:ascii="Century Gothic" w:hAnsi="Century Gothic"/>
          <w:b/>
          <w:sz w:val="28"/>
        </w:rPr>
        <w:t xml:space="preserve"> Domain Registry</w:t>
      </w:r>
      <w:r>
        <w:rPr>
          <w:rFonts w:ascii="Century Gothic" w:hAnsi="Century Gothic"/>
          <w:b/>
          <w:sz w:val="28"/>
        </w:rPr>
        <w:t xml:space="preserve"> (IEDR)</w:t>
      </w:r>
      <w:r w:rsidRPr="00835760">
        <w:rPr>
          <w:rFonts w:ascii="Century Gothic" w:hAnsi="Century Gothic"/>
          <w:b/>
          <w:sz w:val="28"/>
        </w:rPr>
        <w:t xml:space="preserve"> records 6 percent increase in turnover in 2016</w:t>
      </w:r>
      <w:r w:rsidR="006E1F60">
        <w:rPr>
          <w:rFonts w:ascii="Century Gothic" w:hAnsi="Century Gothic"/>
          <w:b/>
          <w:sz w:val="28"/>
        </w:rPr>
        <w:t xml:space="preserve"> - </w:t>
      </w:r>
      <w:r w:rsidR="002E5F29">
        <w:rPr>
          <w:rFonts w:ascii="Century Gothic" w:hAnsi="Century Gothic"/>
          <w:b/>
          <w:sz w:val="28"/>
        </w:rPr>
        <w:t>annual</w:t>
      </w:r>
      <w:r>
        <w:rPr>
          <w:rFonts w:ascii="Century Gothic" w:hAnsi="Century Gothic"/>
          <w:b/>
          <w:sz w:val="28"/>
        </w:rPr>
        <w:t xml:space="preserve"> report</w:t>
      </w:r>
    </w:p>
    <w:p w14:paraId="2DDDF9ED" w14:textId="77777777" w:rsidR="00835760" w:rsidRPr="006C15F6" w:rsidRDefault="006C15F6" w:rsidP="00F75E2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</w:rPr>
      </w:pPr>
      <w:r w:rsidRPr="006C15F6">
        <w:rPr>
          <w:rFonts w:ascii="Century Gothic" w:hAnsi="Century Gothic"/>
          <w:b/>
        </w:rPr>
        <w:t xml:space="preserve">Turnover increased from </w:t>
      </w:r>
      <w:r w:rsidR="00E16BC3">
        <w:rPr>
          <w:rFonts w:ascii="Century Gothic" w:hAnsi="Century Gothic"/>
          <w:b/>
        </w:rPr>
        <w:t>€</w:t>
      </w:r>
      <w:r w:rsidRPr="006C15F6">
        <w:rPr>
          <w:rFonts w:ascii="Century Gothic" w:hAnsi="Century Gothic"/>
          <w:b/>
        </w:rPr>
        <w:t xml:space="preserve">2.86 million in 2015 to </w:t>
      </w:r>
      <w:r w:rsidR="00E16BC3">
        <w:rPr>
          <w:rFonts w:ascii="Century Gothic" w:hAnsi="Century Gothic"/>
          <w:b/>
        </w:rPr>
        <w:t>€</w:t>
      </w:r>
      <w:r w:rsidRPr="006C15F6">
        <w:rPr>
          <w:rFonts w:ascii="Century Gothic" w:hAnsi="Century Gothic"/>
          <w:b/>
        </w:rPr>
        <w:t>3.03 million in 2016;</w:t>
      </w:r>
    </w:p>
    <w:p w14:paraId="37C9C9CC" w14:textId="77777777" w:rsidR="00835760" w:rsidRPr="006C15F6" w:rsidRDefault="006C15F6" w:rsidP="00F75E2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</w:rPr>
      </w:pPr>
      <w:r w:rsidRPr="006C15F6">
        <w:rPr>
          <w:rFonts w:ascii="Century Gothic" w:hAnsi="Century Gothic"/>
          <w:b/>
        </w:rPr>
        <w:t xml:space="preserve">IEDR recorded a decreased operating loss after tax of </w:t>
      </w:r>
      <w:r w:rsidR="00E16BC3">
        <w:rPr>
          <w:rFonts w:ascii="Century Gothic" w:hAnsi="Century Gothic"/>
          <w:b/>
        </w:rPr>
        <w:t>€</w:t>
      </w:r>
      <w:r w:rsidRPr="006C15F6">
        <w:rPr>
          <w:rFonts w:ascii="Century Gothic" w:hAnsi="Century Gothic"/>
          <w:b/>
        </w:rPr>
        <w:t>126,519 as company continues to invest in Strategic Development Fund</w:t>
      </w:r>
      <w:r w:rsidR="00E16BC3">
        <w:rPr>
          <w:rFonts w:ascii="Century Gothic" w:hAnsi="Century Gothic"/>
          <w:b/>
        </w:rPr>
        <w:t>;</w:t>
      </w:r>
    </w:p>
    <w:p w14:paraId="534F62A3" w14:textId="77777777" w:rsidR="00835760" w:rsidRPr="006C15F6" w:rsidRDefault="006C15F6" w:rsidP="00F75E2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</w:rPr>
      </w:pPr>
      <w:r w:rsidRPr="006C15F6">
        <w:rPr>
          <w:rFonts w:ascii="Century Gothic" w:hAnsi="Century Gothic"/>
          <w:b/>
        </w:rPr>
        <w:t>Fund seeks to grow market presence of .</w:t>
      </w:r>
      <w:proofErr w:type="spellStart"/>
      <w:r w:rsidRPr="006C15F6">
        <w:rPr>
          <w:rFonts w:ascii="Century Gothic" w:hAnsi="Century Gothic"/>
          <w:b/>
        </w:rPr>
        <w:t>ie</w:t>
      </w:r>
      <w:proofErr w:type="spellEnd"/>
      <w:r w:rsidRPr="006C15F6">
        <w:rPr>
          <w:rFonts w:ascii="Century Gothic" w:hAnsi="Century Gothic"/>
          <w:b/>
        </w:rPr>
        <w:t xml:space="preserve"> namespace through promotion and customer service campaigns;</w:t>
      </w:r>
    </w:p>
    <w:p w14:paraId="2787E4A7" w14:textId="77777777" w:rsidR="006C15F6" w:rsidRPr="006C15F6" w:rsidRDefault="006C15F6" w:rsidP="00F75E22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b/>
        </w:rPr>
      </w:pPr>
      <w:r w:rsidRPr="006C15F6">
        <w:rPr>
          <w:rFonts w:ascii="Century Gothic" w:hAnsi="Century Gothic"/>
          <w:b/>
        </w:rPr>
        <w:t>IEDR CEO: “2016 was a solid year for IEDR, despite macroeconomic uncertainty and new global trends in domain ownership.”</w:t>
      </w:r>
    </w:p>
    <w:p w14:paraId="235BA18D" w14:textId="10380B8B" w:rsidR="00B802E6" w:rsidRDefault="00835760" w:rsidP="00835760">
      <w:pPr>
        <w:jc w:val="both"/>
        <w:rPr>
          <w:rFonts w:ascii="Century Gothic" w:hAnsi="Century Gothic"/>
        </w:rPr>
      </w:pPr>
      <w:r w:rsidRPr="00835760">
        <w:rPr>
          <w:rFonts w:ascii="Century Gothic" w:hAnsi="Century Gothic"/>
        </w:rPr>
        <w:t>The .</w:t>
      </w:r>
      <w:proofErr w:type="spellStart"/>
      <w:r w:rsidRPr="00835760">
        <w:rPr>
          <w:rFonts w:ascii="Century Gothic" w:hAnsi="Century Gothic"/>
        </w:rPr>
        <w:t>ie</w:t>
      </w:r>
      <w:proofErr w:type="spellEnd"/>
      <w:r w:rsidRPr="00835760">
        <w:rPr>
          <w:rFonts w:ascii="Century Gothic" w:hAnsi="Century Gothic"/>
        </w:rPr>
        <w:t xml:space="preserve"> Domain Registry (IEDR), the company responsible for managing and maintaining Ireland</w:t>
      </w:r>
      <w:r w:rsidR="001E3B94">
        <w:rPr>
          <w:rFonts w:ascii="Century Gothic" w:hAnsi="Century Gothic"/>
        </w:rPr>
        <w:t>’</w:t>
      </w:r>
      <w:r w:rsidRPr="00835760">
        <w:rPr>
          <w:rFonts w:ascii="Century Gothic" w:hAnsi="Century Gothic"/>
        </w:rPr>
        <w:t>s country domain name</w:t>
      </w:r>
      <w:r w:rsidR="002E5F29">
        <w:rPr>
          <w:rFonts w:ascii="Century Gothic" w:hAnsi="Century Gothic"/>
        </w:rPr>
        <w:t>,</w:t>
      </w:r>
      <w:r w:rsidRPr="00835760">
        <w:rPr>
          <w:rFonts w:ascii="Century Gothic" w:hAnsi="Century Gothic"/>
        </w:rPr>
        <w:t xml:space="preserve"> .</w:t>
      </w:r>
      <w:proofErr w:type="spellStart"/>
      <w:r w:rsidRPr="00835760">
        <w:rPr>
          <w:rFonts w:ascii="Century Gothic" w:hAnsi="Century Gothic"/>
        </w:rPr>
        <w:t>ie</w:t>
      </w:r>
      <w:proofErr w:type="spellEnd"/>
      <w:r w:rsidRPr="00835760">
        <w:rPr>
          <w:rFonts w:ascii="Century Gothic" w:hAnsi="Century Gothic"/>
        </w:rPr>
        <w:t xml:space="preserve">, recorded a 6 percent increase in turnover in 2016, </w:t>
      </w:r>
      <w:r w:rsidR="00B802E6">
        <w:rPr>
          <w:rFonts w:ascii="Century Gothic" w:hAnsi="Century Gothic"/>
        </w:rPr>
        <w:t>from €2.86 million in 2015 to €3.03</w:t>
      </w:r>
      <w:r w:rsidR="00DC1BB2">
        <w:rPr>
          <w:rFonts w:ascii="Century Gothic" w:hAnsi="Century Gothic"/>
        </w:rPr>
        <w:t xml:space="preserve"> million last year,</w:t>
      </w:r>
      <w:r w:rsidR="00B802E6">
        <w:rPr>
          <w:rFonts w:ascii="Century Gothic" w:hAnsi="Century Gothic"/>
        </w:rPr>
        <w:t xml:space="preserve"> </w:t>
      </w:r>
      <w:r w:rsidRPr="00835760">
        <w:rPr>
          <w:rFonts w:ascii="Century Gothic" w:hAnsi="Century Gothic"/>
        </w:rPr>
        <w:t xml:space="preserve">according to its </w:t>
      </w:r>
      <w:r w:rsidR="0000593E">
        <w:rPr>
          <w:rFonts w:ascii="Century Gothic" w:hAnsi="Century Gothic"/>
        </w:rPr>
        <w:t xml:space="preserve">Annual Report &amp; Review </w:t>
      </w:r>
      <w:r w:rsidR="00FA257C">
        <w:rPr>
          <w:rFonts w:ascii="Century Gothic" w:hAnsi="Century Gothic"/>
        </w:rPr>
        <w:t>for 2016</w:t>
      </w:r>
      <w:r w:rsidR="000559EE">
        <w:rPr>
          <w:rFonts w:ascii="Century Gothic" w:hAnsi="Century Gothic"/>
        </w:rPr>
        <w:t xml:space="preserve">, published today. </w:t>
      </w:r>
    </w:p>
    <w:p w14:paraId="0D51719F" w14:textId="511F9D60" w:rsidR="00B802E6" w:rsidRDefault="0000593E" w:rsidP="0083576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="00B802E6">
        <w:rPr>
          <w:rFonts w:ascii="Century Gothic" w:hAnsi="Century Gothic"/>
        </w:rPr>
        <w:t>eferred income on the IEDR balance sheet increased by 4 percent in 2016, to €2.05 million, up from €1.97 million in 2015.</w:t>
      </w:r>
    </w:p>
    <w:p w14:paraId="08809A9C" w14:textId="2521B733" w:rsidR="00AC650D" w:rsidRPr="00835760" w:rsidRDefault="00835760" w:rsidP="00835760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Continued investment in the company’s Strategic Development Fund created an operating loss after tax of </w:t>
      </w:r>
      <w:r w:rsidRPr="00835760">
        <w:rPr>
          <w:rFonts w:ascii="Century Gothic" w:hAnsi="Century Gothic"/>
        </w:rPr>
        <w:t>€126,519</w:t>
      </w:r>
      <w:r w:rsidR="00DA1DB2">
        <w:rPr>
          <w:rFonts w:ascii="Century Gothic" w:hAnsi="Century Gothic"/>
        </w:rPr>
        <w:t>. T</w:t>
      </w:r>
      <w:r w:rsidRPr="00835760">
        <w:rPr>
          <w:rFonts w:ascii="Century Gothic" w:hAnsi="Century Gothic"/>
        </w:rPr>
        <w:t>his is a decreas</w:t>
      </w:r>
      <w:r>
        <w:rPr>
          <w:rFonts w:ascii="Century Gothic" w:hAnsi="Century Gothic"/>
        </w:rPr>
        <w:t>e on a loss of €389,311 in 2</w:t>
      </w:r>
      <w:r w:rsidR="00AC650D">
        <w:rPr>
          <w:rFonts w:ascii="Century Gothic" w:hAnsi="Century Gothic"/>
        </w:rPr>
        <w:t>015 when the fund was established. The fund finances</w:t>
      </w:r>
      <w:r w:rsidR="001214D1">
        <w:rPr>
          <w:rFonts w:ascii="Century Gothic" w:hAnsi="Century Gothic"/>
        </w:rPr>
        <w:t xml:space="preserve"> the</w:t>
      </w:r>
      <w:r w:rsidR="00AC650D">
        <w:rPr>
          <w:rFonts w:ascii="Century Gothic" w:hAnsi="Century Gothic"/>
        </w:rPr>
        <w:t xml:space="preserve"> promotion, marketing and customer service initiatives for the </w:t>
      </w:r>
      <w:r w:rsidR="002E5F29">
        <w:rPr>
          <w:rFonts w:ascii="Century Gothic" w:hAnsi="Century Gothic"/>
        </w:rPr>
        <w:t>.</w:t>
      </w:r>
      <w:proofErr w:type="spellStart"/>
      <w:r w:rsidR="00AC650D">
        <w:rPr>
          <w:rFonts w:ascii="Century Gothic" w:hAnsi="Century Gothic"/>
        </w:rPr>
        <w:t>ie</w:t>
      </w:r>
      <w:proofErr w:type="spellEnd"/>
      <w:r w:rsidR="00AC650D">
        <w:rPr>
          <w:rFonts w:ascii="Century Gothic" w:hAnsi="Century Gothic"/>
        </w:rPr>
        <w:t xml:space="preserve"> namespace. </w:t>
      </w:r>
    </w:p>
    <w:p w14:paraId="48B80ED7" w14:textId="77777777" w:rsidR="00515EDD" w:rsidRDefault="00515ED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Overall, IEDR is in a solid financial position, ending 2016 with €3.6 million in members’ funds and €6.3 million in liquid funds and investments. </w:t>
      </w:r>
    </w:p>
    <w:p w14:paraId="581E2279" w14:textId="77777777" w:rsidR="00515EDD" w:rsidRPr="00515EDD" w:rsidRDefault="00515EDD">
      <w:pPr>
        <w:jc w:val="both"/>
        <w:rPr>
          <w:rFonts w:ascii="Century Gothic" w:hAnsi="Century Gothic"/>
          <w:b/>
        </w:rPr>
      </w:pPr>
      <w:r w:rsidRPr="00515EDD">
        <w:rPr>
          <w:rFonts w:ascii="Century Gothic" w:hAnsi="Century Gothic"/>
          <w:b/>
        </w:rPr>
        <w:t xml:space="preserve">2016 operational highlights </w:t>
      </w:r>
    </w:p>
    <w:p w14:paraId="171D6A08" w14:textId="77777777" w:rsidR="00515EDD" w:rsidRDefault="00F75E2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total of 34,615 new .</w:t>
      </w:r>
      <w:proofErr w:type="spellStart"/>
      <w:r>
        <w:rPr>
          <w:rFonts w:ascii="Century Gothic" w:hAnsi="Century Gothic"/>
        </w:rPr>
        <w:t>ie</w:t>
      </w:r>
      <w:proofErr w:type="spellEnd"/>
      <w:r>
        <w:rPr>
          <w:rFonts w:ascii="Century Gothic" w:hAnsi="Century Gothic"/>
        </w:rPr>
        <w:t xml:space="preserve"> domains were registered in 2016, a slight 1.7 percent decrease when compared to 2015 (35,225).</w:t>
      </w:r>
      <w:r w:rsidR="0050088E">
        <w:rPr>
          <w:rFonts w:ascii="Century Gothic" w:hAnsi="Century Gothic"/>
        </w:rPr>
        <w:t xml:space="preserve"> </w:t>
      </w:r>
    </w:p>
    <w:p w14:paraId="5E7961DD" w14:textId="5FC1EDBC" w:rsidR="00515EDD" w:rsidRDefault="00515ED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IEDR</w:t>
      </w:r>
      <w:r w:rsidR="0000593E">
        <w:rPr>
          <w:rFonts w:ascii="Century Gothic" w:hAnsi="Century Gothic"/>
        </w:rPr>
        <w:t>’s multi-stakeholder</w:t>
      </w:r>
      <w:r>
        <w:rPr>
          <w:rFonts w:ascii="Century Gothic" w:hAnsi="Century Gothic"/>
        </w:rPr>
        <w:t xml:space="preserve"> Policy Advisory Committee (PAC) </w:t>
      </w:r>
      <w:r w:rsidR="0000593E">
        <w:rPr>
          <w:rFonts w:ascii="Century Gothic" w:hAnsi="Century Gothic"/>
        </w:rPr>
        <w:t xml:space="preserve">was extremely busy </w:t>
      </w:r>
      <w:r>
        <w:rPr>
          <w:rFonts w:ascii="Century Gothic" w:hAnsi="Century Gothic"/>
        </w:rPr>
        <w:t xml:space="preserve">in 2016, bringing about </w:t>
      </w:r>
      <w:r w:rsidR="009715D4">
        <w:rPr>
          <w:rFonts w:ascii="Century Gothic" w:hAnsi="Century Gothic"/>
        </w:rPr>
        <w:t>a number of key policy changes</w:t>
      </w:r>
      <w:r w:rsidR="00DA1DB2">
        <w:rPr>
          <w:rFonts w:ascii="Century Gothic" w:hAnsi="Century Gothic"/>
        </w:rPr>
        <w:t>. Th</w:t>
      </w:r>
      <w:r w:rsidR="00C47985">
        <w:rPr>
          <w:rFonts w:ascii="Century Gothic" w:hAnsi="Century Gothic"/>
        </w:rPr>
        <w:t>ese</w:t>
      </w:r>
      <w:r w:rsidR="009715D4">
        <w:rPr>
          <w:rFonts w:ascii="Century Gothic" w:hAnsi="Century Gothic"/>
        </w:rPr>
        <w:t xml:space="preserve"> includ</w:t>
      </w:r>
      <w:r w:rsidR="00DA1DB2">
        <w:rPr>
          <w:rFonts w:ascii="Century Gothic" w:hAnsi="Century Gothic"/>
        </w:rPr>
        <w:t>ed</w:t>
      </w:r>
      <w:r>
        <w:rPr>
          <w:rFonts w:ascii="Century Gothic" w:hAnsi="Century Gothic"/>
        </w:rPr>
        <w:t xml:space="preserve"> </w:t>
      </w:r>
      <w:r w:rsidR="0026199D">
        <w:rPr>
          <w:rFonts w:ascii="Century Gothic" w:hAnsi="Century Gothic"/>
        </w:rPr>
        <w:t>new rules to allow one- and two-letter domains (</w:t>
      </w:r>
      <w:r w:rsidR="00DA1DB2">
        <w:rPr>
          <w:rFonts w:ascii="Century Gothic" w:hAnsi="Century Gothic"/>
        </w:rPr>
        <w:t>for example</w:t>
      </w:r>
      <w:r w:rsidR="0026199D">
        <w:rPr>
          <w:rFonts w:ascii="Century Gothic" w:hAnsi="Century Gothic"/>
        </w:rPr>
        <w:t xml:space="preserve"> t.ie and fg.ie) and domain names with </w:t>
      </w:r>
      <w:proofErr w:type="spellStart"/>
      <w:r w:rsidR="0026199D">
        <w:rPr>
          <w:rFonts w:ascii="Century Gothic" w:hAnsi="Century Gothic"/>
        </w:rPr>
        <w:t>fadas</w:t>
      </w:r>
      <w:proofErr w:type="spellEnd"/>
      <w:r w:rsidR="0026199D">
        <w:rPr>
          <w:rFonts w:ascii="Century Gothic" w:hAnsi="Century Gothic"/>
        </w:rPr>
        <w:t xml:space="preserve"> on vowels (</w:t>
      </w:r>
      <w:r w:rsidR="00DA1DB2">
        <w:rPr>
          <w:rFonts w:ascii="Century Gothic" w:hAnsi="Century Gothic"/>
        </w:rPr>
        <w:t>for example</w:t>
      </w:r>
      <w:r w:rsidR="0026199D">
        <w:rPr>
          <w:rFonts w:ascii="Century Gothic" w:hAnsi="Century Gothic"/>
        </w:rPr>
        <w:t xml:space="preserve">. </w:t>
      </w:r>
      <w:r w:rsidR="0000593E">
        <w:rPr>
          <w:rFonts w:ascii="Century Gothic" w:hAnsi="Century Gothic"/>
        </w:rPr>
        <w:t>fáilte</w:t>
      </w:r>
      <w:r w:rsidR="0026199D">
        <w:rPr>
          <w:rFonts w:ascii="Century Gothic" w:hAnsi="Century Gothic"/>
        </w:rPr>
        <w:t xml:space="preserve">.ie); </w:t>
      </w:r>
      <w:r w:rsidR="00C47985">
        <w:rPr>
          <w:rFonts w:ascii="Century Gothic" w:hAnsi="Century Gothic"/>
        </w:rPr>
        <w:t>a</w:t>
      </w:r>
      <w:r w:rsidR="0026199D">
        <w:rPr>
          <w:rFonts w:ascii="Century Gothic" w:hAnsi="Century Gothic"/>
        </w:rPr>
        <w:t xml:space="preserve"> secondary market to allow the private resale of .</w:t>
      </w:r>
      <w:proofErr w:type="spellStart"/>
      <w:r w:rsidR="0026199D">
        <w:rPr>
          <w:rFonts w:ascii="Century Gothic" w:hAnsi="Century Gothic"/>
        </w:rPr>
        <w:t>ie</w:t>
      </w:r>
      <w:proofErr w:type="spellEnd"/>
      <w:r w:rsidR="0026199D">
        <w:rPr>
          <w:rFonts w:ascii="Century Gothic" w:hAnsi="Century Gothic"/>
        </w:rPr>
        <w:t xml:space="preserve"> domains</w:t>
      </w:r>
      <w:r w:rsidR="00DA1DB2">
        <w:rPr>
          <w:rFonts w:ascii="Century Gothic" w:hAnsi="Century Gothic"/>
        </w:rPr>
        <w:t xml:space="preserve"> was introduced</w:t>
      </w:r>
    </w:p>
    <w:p w14:paraId="5F6A07B8" w14:textId="414F6E66" w:rsidR="00DA1DB2" w:rsidRDefault="0026199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IEDR published two editions of its flagship research, the dot </w:t>
      </w:r>
      <w:proofErr w:type="spellStart"/>
      <w:r>
        <w:rPr>
          <w:rFonts w:ascii="Century Gothic" w:hAnsi="Century Gothic"/>
        </w:rPr>
        <w:t>ie</w:t>
      </w:r>
      <w:proofErr w:type="spellEnd"/>
      <w:r>
        <w:rPr>
          <w:rFonts w:ascii="Century Gothic" w:hAnsi="Century Gothic"/>
        </w:rPr>
        <w:t xml:space="preserve"> Digital Health Index, which measures and analyses the ‘e-health’ of Irish SMEs</w:t>
      </w:r>
      <w:r w:rsidR="00DA1DB2">
        <w:rPr>
          <w:rFonts w:ascii="Century Gothic" w:hAnsi="Century Gothic"/>
        </w:rPr>
        <w:t xml:space="preserve">. A separate report, </w:t>
      </w:r>
      <w:r w:rsidR="00C47985">
        <w:rPr>
          <w:rFonts w:ascii="Century Gothic" w:hAnsi="Century Gothic"/>
        </w:rPr>
        <w:t>t</w:t>
      </w:r>
      <w:r w:rsidR="00DA1DB2">
        <w:rPr>
          <w:rFonts w:ascii="Century Gothic" w:hAnsi="Century Gothic"/>
        </w:rPr>
        <w:t xml:space="preserve">he Domain Profile Report analyses the geographic spread of dot </w:t>
      </w:r>
      <w:proofErr w:type="spellStart"/>
      <w:r w:rsidR="00DA1DB2">
        <w:rPr>
          <w:rFonts w:ascii="Century Gothic" w:hAnsi="Century Gothic"/>
        </w:rPr>
        <w:t>ie</w:t>
      </w:r>
      <w:proofErr w:type="spellEnd"/>
      <w:r w:rsidR="00DA1DB2">
        <w:rPr>
          <w:rFonts w:ascii="Century Gothic" w:hAnsi="Century Gothic"/>
        </w:rPr>
        <w:t xml:space="preserve"> domains. It was also published twice in 2016.</w:t>
      </w:r>
    </w:p>
    <w:p w14:paraId="7667DF54" w14:textId="1F4B2316" w:rsidR="00091E88" w:rsidRDefault="0026199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091E88">
        <w:rPr>
          <w:rFonts w:ascii="Century Gothic" w:hAnsi="Century Gothic"/>
        </w:rPr>
        <w:t xml:space="preserve">On </w:t>
      </w:r>
      <w:r w:rsidR="002E5F29">
        <w:rPr>
          <w:rFonts w:ascii="Century Gothic" w:hAnsi="Century Gothic"/>
        </w:rPr>
        <w:t>27</w:t>
      </w:r>
      <w:r w:rsidR="00091E88">
        <w:rPr>
          <w:rFonts w:ascii="Century Gothic" w:hAnsi="Century Gothic"/>
        </w:rPr>
        <w:t xml:space="preserve"> October</w:t>
      </w:r>
      <w:r w:rsidR="009715D4">
        <w:rPr>
          <w:rFonts w:ascii="Century Gothic" w:hAnsi="Century Gothic"/>
        </w:rPr>
        <w:t xml:space="preserve"> 2016</w:t>
      </w:r>
      <w:r w:rsidR="00091E88">
        <w:rPr>
          <w:rFonts w:ascii="Century Gothic" w:hAnsi="Century Gothic"/>
        </w:rPr>
        <w:t xml:space="preserve">, IEDR hosted Ireland’s second Internet Day at the Mansion House in Dublin. Headlined by businesswoman and serial entrepreneur Emma Sinclair MBE, the youngest </w:t>
      </w:r>
      <w:r w:rsidR="002E5F29">
        <w:rPr>
          <w:rFonts w:ascii="Century Gothic" w:hAnsi="Century Gothic"/>
        </w:rPr>
        <w:t xml:space="preserve">ever </w:t>
      </w:r>
      <w:r w:rsidR="00091E88">
        <w:rPr>
          <w:rFonts w:ascii="Century Gothic" w:hAnsi="Century Gothic"/>
        </w:rPr>
        <w:t xml:space="preserve">person </w:t>
      </w:r>
      <w:r w:rsidR="002E5F29">
        <w:rPr>
          <w:rFonts w:ascii="Century Gothic" w:hAnsi="Century Gothic"/>
        </w:rPr>
        <w:t>in the UK to take a company public</w:t>
      </w:r>
      <w:r w:rsidR="00091E88">
        <w:rPr>
          <w:rFonts w:ascii="Century Gothic" w:hAnsi="Century Gothic"/>
        </w:rPr>
        <w:t>, the event focused on Ireland’s SME community and the importance of e-commerce.</w:t>
      </w:r>
    </w:p>
    <w:p w14:paraId="09EF9407" w14:textId="022AF4D3" w:rsidR="00B802E6" w:rsidRPr="006C15F6" w:rsidRDefault="00091E8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IEDR’s OPTIMISE Fund continued in 2016, supporting </w:t>
      </w:r>
      <w:r w:rsidR="00E16BC3">
        <w:rPr>
          <w:rFonts w:ascii="Century Gothic" w:hAnsi="Century Gothic"/>
        </w:rPr>
        <w:t>15</w:t>
      </w:r>
      <w:r w:rsidR="001E3B9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Irish SMEs with </w:t>
      </w:r>
      <w:r w:rsidR="0000593E">
        <w:rPr>
          <w:rFonts w:ascii="Century Gothic" w:hAnsi="Century Gothic"/>
        </w:rPr>
        <w:t xml:space="preserve">over </w:t>
      </w:r>
      <w:r w:rsidR="001E3B94">
        <w:rPr>
          <w:rFonts w:ascii="Century Gothic" w:hAnsi="Century Gothic"/>
        </w:rPr>
        <w:t>€</w:t>
      </w:r>
      <w:r w:rsidR="0000593E">
        <w:rPr>
          <w:rFonts w:ascii="Century Gothic" w:hAnsi="Century Gothic"/>
        </w:rPr>
        <w:t>120,000</w:t>
      </w:r>
      <w:r>
        <w:rPr>
          <w:rFonts w:ascii="Century Gothic" w:hAnsi="Century Gothic"/>
        </w:rPr>
        <w:t xml:space="preserve"> worth of services to develop a modern, e-commerce-enabled website. </w:t>
      </w:r>
    </w:p>
    <w:p w14:paraId="470E836B" w14:textId="77777777" w:rsidR="00515EDD" w:rsidRDefault="00B802E6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Comment</w:t>
      </w:r>
    </w:p>
    <w:p w14:paraId="12D48687" w14:textId="444D903A" w:rsidR="00455850" w:rsidRPr="00D4278E" w:rsidRDefault="00455850">
      <w:pPr>
        <w:jc w:val="both"/>
        <w:rPr>
          <w:rFonts w:ascii="Century Gothic" w:hAnsi="Century Gothic"/>
        </w:rPr>
      </w:pPr>
      <w:r w:rsidRPr="00D4278E">
        <w:rPr>
          <w:rFonts w:ascii="Century Gothic" w:hAnsi="Century Gothic"/>
        </w:rPr>
        <w:t>IEDR will continue to invest in the promotion of the .</w:t>
      </w:r>
      <w:proofErr w:type="spellStart"/>
      <w:r w:rsidRPr="00D4278E">
        <w:rPr>
          <w:rFonts w:ascii="Century Gothic" w:hAnsi="Century Gothic"/>
        </w:rPr>
        <w:t>ie</w:t>
      </w:r>
      <w:proofErr w:type="spellEnd"/>
      <w:r w:rsidRPr="00D4278E">
        <w:rPr>
          <w:rFonts w:ascii="Century Gothic" w:hAnsi="Century Gothic"/>
        </w:rPr>
        <w:t xml:space="preserve"> namespace </w:t>
      </w:r>
      <w:r w:rsidR="00CF37C5">
        <w:rPr>
          <w:rFonts w:ascii="Century Gothic" w:hAnsi="Century Gothic"/>
        </w:rPr>
        <w:t>this year</w:t>
      </w:r>
      <w:r w:rsidR="00C47985">
        <w:rPr>
          <w:rFonts w:ascii="Century Gothic" w:hAnsi="Century Gothic"/>
        </w:rPr>
        <w:t xml:space="preserve"> </w:t>
      </w:r>
      <w:r w:rsidRPr="00D4278E">
        <w:rPr>
          <w:rFonts w:ascii="Century Gothic" w:hAnsi="Century Gothic"/>
        </w:rPr>
        <w:t xml:space="preserve">and </w:t>
      </w:r>
      <w:r w:rsidR="00CF37C5">
        <w:rPr>
          <w:rFonts w:ascii="Century Gothic" w:hAnsi="Century Gothic"/>
        </w:rPr>
        <w:t>in 2018.</w:t>
      </w:r>
      <w:r w:rsidRPr="00D4278E">
        <w:rPr>
          <w:rFonts w:ascii="Century Gothic" w:hAnsi="Century Gothic"/>
        </w:rPr>
        <w:t xml:space="preserve"> </w:t>
      </w:r>
      <w:r w:rsidR="002E5F29">
        <w:rPr>
          <w:rFonts w:ascii="Century Gothic" w:hAnsi="Century Gothic"/>
        </w:rPr>
        <w:t xml:space="preserve">In particular, IEDR will push ahead with new domain </w:t>
      </w:r>
      <w:r w:rsidR="0000593E">
        <w:rPr>
          <w:rFonts w:ascii="Century Gothic" w:hAnsi="Century Gothic"/>
        </w:rPr>
        <w:t>policy changes</w:t>
      </w:r>
      <w:r w:rsidR="002E5F29">
        <w:rPr>
          <w:rFonts w:ascii="Century Gothic" w:hAnsi="Century Gothic"/>
        </w:rPr>
        <w:t xml:space="preserve">, allowing </w:t>
      </w:r>
      <w:r w:rsidR="00566CD0">
        <w:rPr>
          <w:rFonts w:ascii="Century Gothic" w:hAnsi="Century Gothic"/>
        </w:rPr>
        <w:t xml:space="preserve">users </w:t>
      </w:r>
      <w:r w:rsidR="002E5F29">
        <w:rPr>
          <w:rFonts w:ascii="Century Gothic" w:hAnsi="Century Gothic"/>
        </w:rPr>
        <w:t>easier access to</w:t>
      </w:r>
      <w:r w:rsidR="00566CD0">
        <w:rPr>
          <w:rFonts w:ascii="Century Gothic" w:hAnsi="Century Gothic"/>
        </w:rPr>
        <w:t xml:space="preserve"> .</w:t>
      </w:r>
      <w:proofErr w:type="spellStart"/>
      <w:r w:rsidR="00566CD0">
        <w:rPr>
          <w:rFonts w:ascii="Century Gothic" w:hAnsi="Century Gothic"/>
        </w:rPr>
        <w:t>ie</w:t>
      </w:r>
      <w:proofErr w:type="spellEnd"/>
      <w:r w:rsidR="00566CD0">
        <w:rPr>
          <w:rFonts w:ascii="Century Gothic" w:hAnsi="Century Gothic"/>
        </w:rPr>
        <w:t xml:space="preserve"> domains while preserving and improving existing security requirements.</w:t>
      </w:r>
      <w:r w:rsidR="002E5F29">
        <w:rPr>
          <w:rFonts w:ascii="Century Gothic" w:hAnsi="Century Gothic"/>
        </w:rPr>
        <w:t xml:space="preserve"> </w:t>
      </w:r>
      <w:r w:rsidRPr="00566CD0">
        <w:rPr>
          <w:rFonts w:ascii="Century Gothic" w:hAnsi="Century Gothic"/>
        </w:rPr>
        <w:t xml:space="preserve">In October, the company will host Ireland’s third annual Internet Day, headlined by a major international </w:t>
      </w:r>
      <w:r w:rsidR="00D4278E" w:rsidRPr="00566CD0">
        <w:rPr>
          <w:rFonts w:ascii="Century Gothic" w:hAnsi="Century Gothic"/>
        </w:rPr>
        <w:t xml:space="preserve">tech </w:t>
      </w:r>
      <w:r w:rsidR="001E3B94" w:rsidRPr="00566CD0">
        <w:rPr>
          <w:rFonts w:ascii="Century Gothic" w:hAnsi="Century Gothic"/>
        </w:rPr>
        <w:t>CEO</w:t>
      </w:r>
      <w:r w:rsidRPr="00566CD0">
        <w:rPr>
          <w:rFonts w:ascii="Century Gothic" w:hAnsi="Century Gothic"/>
        </w:rPr>
        <w:t>.</w:t>
      </w:r>
      <w:r w:rsidRPr="00D4278E">
        <w:rPr>
          <w:rFonts w:ascii="Century Gothic" w:hAnsi="Century Gothic"/>
        </w:rPr>
        <w:t xml:space="preserve"> </w:t>
      </w:r>
      <w:r w:rsidR="00CE5827">
        <w:rPr>
          <w:rFonts w:ascii="Century Gothic" w:hAnsi="Century Gothic"/>
        </w:rPr>
        <w:t xml:space="preserve"> </w:t>
      </w:r>
    </w:p>
    <w:p w14:paraId="7E3996AC" w14:textId="5E419E3E" w:rsidR="001214D1" w:rsidRDefault="0050088E">
      <w:pPr>
        <w:jc w:val="both"/>
        <w:rPr>
          <w:rFonts w:ascii="Century Gothic" w:hAnsi="Century Gothic"/>
        </w:rPr>
      </w:pPr>
      <w:r w:rsidRPr="0050088E">
        <w:rPr>
          <w:rFonts w:ascii="Century Gothic" w:hAnsi="Century Gothic"/>
        </w:rPr>
        <w:t xml:space="preserve">Commenting </w:t>
      </w:r>
      <w:r w:rsidR="00D4278E">
        <w:rPr>
          <w:rFonts w:ascii="Century Gothic" w:hAnsi="Century Gothic"/>
        </w:rPr>
        <w:t>on the annual report</w:t>
      </w:r>
      <w:r w:rsidRPr="0050088E">
        <w:rPr>
          <w:rFonts w:ascii="Century Gothic" w:hAnsi="Century Gothic"/>
        </w:rPr>
        <w:t>, David Curtin, Chief Executive of IEDR, said: “</w:t>
      </w:r>
      <w:r w:rsidR="009C4DE6">
        <w:rPr>
          <w:rFonts w:ascii="Century Gothic" w:hAnsi="Century Gothic"/>
        </w:rPr>
        <w:t xml:space="preserve">2016 was a solid year for IEDR, </w:t>
      </w:r>
      <w:r w:rsidR="003829FC">
        <w:rPr>
          <w:rFonts w:ascii="Century Gothic" w:hAnsi="Century Gothic"/>
        </w:rPr>
        <w:t>despite macroeconomic uncertainty</w:t>
      </w:r>
      <w:r w:rsidR="0000593E">
        <w:rPr>
          <w:rFonts w:ascii="Century Gothic" w:hAnsi="Century Gothic"/>
        </w:rPr>
        <w:t>, new domain choices</w:t>
      </w:r>
      <w:r w:rsidR="009C4DE6">
        <w:rPr>
          <w:rFonts w:ascii="Century Gothic" w:hAnsi="Century Gothic"/>
        </w:rPr>
        <w:t xml:space="preserve"> and </w:t>
      </w:r>
      <w:r w:rsidR="001214D1">
        <w:rPr>
          <w:rFonts w:ascii="Century Gothic" w:hAnsi="Century Gothic"/>
        </w:rPr>
        <w:t>new gl</w:t>
      </w:r>
      <w:r w:rsidR="003829FC">
        <w:rPr>
          <w:rFonts w:ascii="Century Gothic" w:hAnsi="Century Gothic"/>
        </w:rPr>
        <w:t xml:space="preserve">obal trends in domain ownership, </w:t>
      </w:r>
      <w:r w:rsidR="00CF37C5">
        <w:rPr>
          <w:rFonts w:ascii="Century Gothic" w:hAnsi="Century Gothic"/>
        </w:rPr>
        <w:t xml:space="preserve">such as </w:t>
      </w:r>
      <w:r w:rsidR="003829FC">
        <w:rPr>
          <w:rFonts w:ascii="Century Gothic" w:hAnsi="Century Gothic"/>
        </w:rPr>
        <w:t>shorter domain life-cycles.</w:t>
      </w:r>
      <w:r w:rsidR="001214D1">
        <w:rPr>
          <w:rFonts w:ascii="Century Gothic" w:hAnsi="Century Gothic"/>
        </w:rPr>
        <w:t xml:space="preserve"> </w:t>
      </w:r>
      <w:r w:rsidR="009715D4">
        <w:rPr>
          <w:rFonts w:ascii="Century Gothic" w:hAnsi="Century Gothic"/>
        </w:rPr>
        <w:t>Moving forward</w:t>
      </w:r>
      <w:r w:rsidR="003829FC">
        <w:rPr>
          <w:rFonts w:ascii="Century Gothic" w:hAnsi="Century Gothic"/>
        </w:rPr>
        <w:t>, p</w:t>
      </w:r>
      <w:r w:rsidR="00E83ABF">
        <w:rPr>
          <w:rFonts w:ascii="Century Gothic" w:hAnsi="Century Gothic"/>
        </w:rPr>
        <w:t>olicy changes introduced by the PAC</w:t>
      </w:r>
      <w:r w:rsidR="00C47985">
        <w:rPr>
          <w:rFonts w:ascii="Century Gothic" w:hAnsi="Century Gothic"/>
        </w:rPr>
        <w:t xml:space="preserve"> </w:t>
      </w:r>
      <w:r w:rsidR="00E83ABF">
        <w:rPr>
          <w:rFonts w:ascii="Century Gothic" w:hAnsi="Century Gothic"/>
        </w:rPr>
        <w:t xml:space="preserve">will </w:t>
      </w:r>
      <w:r w:rsidR="0000593E">
        <w:rPr>
          <w:rFonts w:ascii="Century Gothic" w:hAnsi="Century Gothic"/>
        </w:rPr>
        <w:t xml:space="preserve">continue to ensure that dot </w:t>
      </w:r>
      <w:proofErr w:type="spellStart"/>
      <w:r w:rsidR="0000593E">
        <w:rPr>
          <w:rFonts w:ascii="Century Gothic" w:hAnsi="Century Gothic"/>
        </w:rPr>
        <w:t>ie</w:t>
      </w:r>
      <w:proofErr w:type="spellEnd"/>
      <w:r w:rsidR="0000593E">
        <w:rPr>
          <w:rFonts w:ascii="Century Gothic" w:hAnsi="Century Gothic"/>
        </w:rPr>
        <w:t xml:space="preserve"> is the domain name of choice for business owners who need a presence online</w:t>
      </w:r>
      <w:r w:rsidR="00700A68">
        <w:rPr>
          <w:rFonts w:ascii="Century Gothic" w:hAnsi="Century Gothic"/>
        </w:rPr>
        <w:t>,</w:t>
      </w:r>
      <w:r w:rsidR="0000593E">
        <w:rPr>
          <w:rFonts w:ascii="Century Gothic" w:hAnsi="Century Gothic"/>
        </w:rPr>
        <w:t xml:space="preserve"> with a website or email address that is Identifiably Irish</w:t>
      </w:r>
      <w:r w:rsidR="003829FC">
        <w:rPr>
          <w:rFonts w:ascii="Century Gothic" w:hAnsi="Century Gothic"/>
        </w:rPr>
        <w:t>.</w:t>
      </w:r>
    </w:p>
    <w:p w14:paraId="02563614" w14:textId="2460508C" w:rsidR="00E83ABF" w:rsidRDefault="009C4DE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“Looking to the end of 2017 and </w:t>
      </w:r>
      <w:r w:rsidR="00E83ABF">
        <w:rPr>
          <w:rFonts w:ascii="Century Gothic" w:hAnsi="Century Gothic"/>
        </w:rPr>
        <w:t>into next year</w:t>
      </w:r>
      <w:r>
        <w:rPr>
          <w:rFonts w:ascii="Century Gothic" w:hAnsi="Century Gothic"/>
        </w:rPr>
        <w:t xml:space="preserve">, we are confident that continued strong investment in our Strategic Development Fund </w:t>
      </w:r>
      <w:r w:rsidR="001214D1">
        <w:rPr>
          <w:rFonts w:ascii="Century Gothic" w:hAnsi="Century Gothic"/>
        </w:rPr>
        <w:t xml:space="preserve">will consolidate </w:t>
      </w:r>
      <w:r w:rsidR="00E83ABF">
        <w:rPr>
          <w:rFonts w:ascii="Century Gothic" w:hAnsi="Century Gothic"/>
        </w:rPr>
        <w:t xml:space="preserve">and grow </w:t>
      </w:r>
      <w:r w:rsidR="001214D1">
        <w:rPr>
          <w:rFonts w:ascii="Century Gothic" w:hAnsi="Century Gothic"/>
        </w:rPr>
        <w:t>IEDR’s</w:t>
      </w:r>
      <w:r w:rsidR="00E83ABF">
        <w:rPr>
          <w:rFonts w:ascii="Century Gothic" w:hAnsi="Century Gothic"/>
        </w:rPr>
        <w:t xml:space="preserve"> </w:t>
      </w:r>
      <w:r w:rsidR="001214D1">
        <w:rPr>
          <w:rFonts w:ascii="Century Gothic" w:hAnsi="Century Gothic"/>
        </w:rPr>
        <w:t>posit</w:t>
      </w:r>
      <w:r w:rsidR="002E5F29">
        <w:rPr>
          <w:rFonts w:ascii="Century Gothic" w:hAnsi="Century Gothic"/>
        </w:rPr>
        <w:t xml:space="preserve">ion in the Irish domain market, with </w:t>
      </w:r>
      <w:r w:rsidR="00566CD0">
        <w:rPr>
          <w:rFonts w:ascii="Century Gothic" w:hAnsi="Century Gothic"/>
        </w:rPr>
        <w:t>new .</w:t>
      </w:r>
      <w:proofErr w:type="spellStart"/>
      <w:r w:rsidR="00566CD0">
        <w:rPr>
          <w:rFonts w:ascii="Century Gothic" w:hAnsi="Century Gothic"/>
        </w:rPr>
        <w:t>ie</w:t>
      </w:r>
      <w:proofErr w:type="spellEnd"/>
      <w:r w:rsidR="00566CD0">
        <w:rPr>
          <w:rFonts w:ascii="Century Gothic" w:hAnsi="Century Gothic"/>
        </w:rPr>
        <w:t xml:space="preserve"> domain initiatives, policies and events.</w:t>
      </w:r>
      <w:r w:rsidR="00E83ABF">
        <w:rPr>
          <w:rFonts w:ascii="Century Gothic" w:hAnsi="Century Gothic"/>
        </w:rPr>
        <w:t xml:space="preserve"> </w:t>
      </w:r>
    </w:p>
    <w:p w14:paraId="40655ED4" w14:textId="18388271" w:rsidR="00E83ABF" w:rsidRDefault="00E83AB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="00CF37C5"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e will continue to work shoulder to shoulder with Ireland’s SME community to bring them online and introduce them to the benefits of e-commerce. </w:t>
      </w:r>
      <w:r w:rsidR="003829FC">
        <w:rPr>
          <w:rFonts w:ascii="Century Gothic" w:hAnsi="Century Gothic"/>
        </w:rPr>
        <w:t xml:space="preserve">This is a priority: </w:t>
      </w:r>
      <w:r>
        <w:rPr>
          <w:rFonts w:ascii="Century Gothic" w:hAnsi="Century Gothic"/>
        </w:rPr>
        <w:t xml:space="preserve">Ireland’s e-commerce market is set to grow to </w:t>
      </w:r>
      <w:r w:rsidR="00D4278E">
        <w:rPr>
          <w:rFonts w:ascii="Century Gothic" w:hAnsi="Century Gothic"/>
        </w:rPr>
        <w:t>€14</w:t>
      </w:r>
      <w:r>
        <w:rPr>
          <w:rFonts w:ascii="Century Gothic" w:hAnsi="Century Gothic"/>
        </w:rPr>
        <w:t xml:space="preserve"> billion by 202</w:t>
      </w:r>
      <w:r w:rsidR="00D4278E">
        <w:rPr>
          <w:rFonts w:ascii="Century Gothic" w:hAnsi="Century Gothic"/>
        </w:rPr>
        <w:t>1</w:t>
      </w:r>
      <w:r>
        <w:rPr>
          <w:rFonts w:ascii="Century Gothic" w:hAnsi="Century Gothic"/>
        </w:rPr>
        <w:t xml:space="preserve">, but with less than a third of our SMEs trading online, </w:t>
      </w:r>
      <w:r w:rsidR="00D4278E">
        <w:rPr>
          <w:rFonts w:ascii="Century Gothic" w:hAnsi="Century Gothic"/>
        </w:rPr>
        <w:t>businesses risk</w:t>
      </w:r>
      <w:r>
        <w:rPr>
          <w:rFonts w:ascii="Century Gothic" w:hAnsi="Century Gothic"/>
        </w:rPr>
        <w:t xml:space="preserve"> losing out</w:t>
      </w:r>
      <w:r w:rsidR="00D4278E">
        <w:rPr>
          <w:rFonts w:ascii="Century Gothic" w:hAnsi="Century Gothic"/>
        </w:rPr>
        <w:t xml:space="preserve"> to </w:t>
      </w:r>
      <w:r w:rsidR="00823C2A">
        <w:rPr>
          <w:rFonts w:ascii="Century Gothic" w:hAnsi="Century Gothic"/>
        </w:rPr>
        <w:t xml:space="preserve">online </w:t>
      </w:r>
      <w:r w:rsidR="00D4278E">
        <w:rPr>
          <w:rFonts w:ascii="Century Gothic" w:hAnsi="Century Gothic"/>
        </w:rPr>
        <w:t>international competition</w:t>
      </w:r>
      <w:r>
        <w:rPr>
          <w:rFonts w:ascii="Century Gothic" w:hAnsi="Century Gothic"/>
        </w:rPr>
        <w:t>.”</w:t>
      </w:r>
    </w:p>
    <w:p w14:paraId="4C6EF112" w14:textId="215C5805" w:rsidR="007F2BE2" w:rsidRDefault="007F2BE2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ENDS</w:t>
      </w:r>
    </w:p>
    <w:p w14:paraId="7AD335EA" w14:textId="24B61F6C" w:rsidR="007F2BE2" w:rsidRDefault="007F2BE2">
      <w:pPr>
        <w:jc w:val="both"/>
        <w:rPr>
          <w:rFonts w:ascii="Century Gothic" w:hAnsi="Century Gothic"/>
          <w:b/>
          <w:u w:val="single"/>
        </w:rPr>
      </w:pPr>
      <w:r w:rsidRPr="00C47985">
        <w:rPr>
          <w:rFonts w:ascii="Century Gothic" w:hAnsi="Century Gothic"/>
          <w:b/>
          <w:u w:val="single"/>
        </w:rPr>
        <w:t>NOTE TO EDITORS</w:t>
      </w:r>
    </w:p>
    <w:p w14:paraId="02D346D9" w14:textId="77777777" w:rsidR="001A0A73" w:rsidRPr="001A0A73" w:rsidRDefault="001A0A73">
      <w:pPr>
        <w:jc w:val="both"/>
        <w:rPr>
          <w:rFonts w:ascii="Century Gothic" w:hAnsi="Century Gothic"/>
        </w:rPr>
      </w:pPr>
    </w:p>
    <w:tbl>
      <w:tblPr>
        <w:tblW w:w="7755" w:type="dxa"/>
        <w:tblLook w:val="04A0" w:firstRow="1" w:lastRow="0" w:firstColumn="1" w:lastColumn="0" w:noHBand="0" w:noVBand="1"/>
      </w:tblPr>
      <w:tblGrid>
        <w:gridCol w:w="4395"/>
        <w:gridCol w:w="1540"/>
        <w:gridCol w:w="1540"/>
        <w:gridCol w:w="280"/>
      </w:tblGrid>
      <w:tr w:rsidR="00700A68" w:rsidRPr="00700A68" w14:paraId="23539DBB" w14:textId="77777777" w:rsidTr="007F2BE2">
        <w:trPr>
          <w:trHeight w:val="300"/>
        </w:trPr>
        <w:tc>
          <w:tcPr>
            <w:tcW w:w="7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1281" w14:textId="77777777" w:rsidR="00700A68" w:rsidRPr="00700A68" w:rsidRDefault="00700A68" w:rsidP="0070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  <w:r w:rsidRPr="00700A68"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  <w:t>Extract from the audited Financial Statements</w:t>
            </w:r>
          </w:p>
        </w:tc>
      </w:tr>
      <w:tr w:rsidR="00700A68" w:rsidRPr="00700A68" w14:paraId="7C0C0D66" w14:textId="77777777" w:rsidTr="007F2BE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D19E" w14:textId="77777777" w:rsidR="00700A68" w:rsidRPr="00700A68" w:rsidRDefault="00700A68" w:rsidP="0070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8D91" w14:textId="77777777" w:rsidR="00700A68" w:rsidRPr="00700A68" w:rsidRDefault="00700A68" w:rsidP="0070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AE1E" w14:textId="77777777" w:rsidR="00700A68" w:rsidRPr="00700A68" w:rsidRDefault="00700A68" w:rsidP="0070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A8D1" w14:textId="77777777" w:rsidR="00700A68" w:rsidRPr="00700A68" w:rsidRDefault="00700A68" w:rsidP="0070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00A68" w:rsidRPr="00700A68" w14:paraId="463D0BA8" w14:textId="77777777" w:rsidTr="007F2BE2">
        <w:trPr>
          <w:trHeight w:val="4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AFA16" w14:textId="77777777" w:rsidR="00700A68" w:rsidRPr="00700A68" w:rsidRDefault="00700A68" w:rsidP="00700A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E"/>
              </w:rPr>
              <w:t>Profit and Loss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91DE6" w14:textId="77777777" w:rsidR="00700A68" w:rsidRPr="00700A68" w:rsidRDefault="00700A68" w:rsidP="00700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Year to 31 Dec 2016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CB66E" w14:textId="77777777" w:rsidR="00700A68" w:rsidRPr="00700A68" w:rsidRDefault="00700A68" w:rsidP="00700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Year to 31 Dec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F6471" w14:textId="77777777" w:rsidR="00700A68" w:rsidRPr="00700A68" w:rsidRDefault="00700A68" w:rsidP="00700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</w:p>
        </w:tc>
      </w:tr>
      <w:tr w:rsidR="00700A68" w:rsidRPr="00700A68" w14:paraId="403F07AD" w14:textId="77777777" w:rsidTr="007F2BE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063F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6D0A" w14:textId="77777777" w:rsidR="00700A68" w:rsidRPr="00700A68" w:rsidRDefault="00700A68" w:rsidP="00700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DD6A" w14:textId="77777777" w:rsidR="00700A68" w:rsidRPr="00700A68" w:rsidRDefault="00700A68" w:rsidP="00700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21F9" w14:textId="77777777" w:rsidR="00700A68" w:rsidRPr="00700A68" w:rsidRDefault="00700A68" w:rsidP="00700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</w:p>
        </w:tc>
      </w:tr>
      <w:tr w:rsidR="00700A68" w:rsidRPr="00700A68" w14:paraId="61CA9BA9" w14:textId="77777777" w:rsidTr="007F2BE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56DB" w14:textId="77777777" w:rsidR="00700A68" w:rsidRPr="00700A68" w:rsidRDefault="00700A68" w:rsidP="00700A6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Registration Revenue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F5AF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3,030,258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2A84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2,859,722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F22E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71E297A1" w14:textId="77777777" w:rsidTr="007F2BE2">
        <w:trPr>
          <w:trHeight w:val="1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9124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D763" w14:textId="77777777" w:rsidR="00700A68" w:rsidRPr="00700A68" w:rsidRDefault="00700A68" w:rsidP="00700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CB7A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F159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00A68" w:rsidRPr="00700A68" w14:paraId="6244C6D0" w14:textId="77777777" w:rsidTr="007F2BE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F373" w14:textId="77777777" w:rsidR="00700A68" w:rsidRPr="00700A68" w:rsidRDefault="00700A68" w:rsidP="00700A6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Administration expenses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5546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(1,727,851)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37BF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(1,706,923)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61A5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73335B9A" w14:textId="77777777" w:rsidTr="007F2BE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0B88" w14:textId="77777777" w:rsidR="00700A68" w:rsidRPr="00700A68" w:rsidRDefault="00700A68" w:rsidP="00700A6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Employment costs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1E73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(1,344,439)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E48A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(1,462,973)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55E7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0E1D8721" w14:textId="77777777" w:rsidTr="007F2BE2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173D" w14:textId="77777777" w:rsidR="00700A68" w:rsidRPr="00700A68" w:rsidRDefault="00700A68" w:rsidP="00700A6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Depreciation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E2F0B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(157,282)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F6F17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(206,908)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CB19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5BC928EA" w14:textId="77777777" w:rsidTr="007F2BE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B902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**</w:t>
            </w:r>
            <w:r w:rsidRPr="00700A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Operating loss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4829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IE"/>
              </w:rPr>
            </w:pPr>
            <w:r w:rsidRPr="00700A68">
              <w:rPr>
                <w:rFonts w:ascii="Times New Roman" w:eastAsia="Times New Roman" w:hAnsi="Times New Roman" w:cs="Times New Roman"/>
                <w:lang w:eastAsia="en-IE"/>
              </w:rPr>
              <w:t>(199,314)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1CD8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IE"/>
              </w:rPr>
            </w:pPr>
            <w:r w:rsidRPr="00700A68">
              <w:rPr>
                <w:rFonts w:ascii="Times New Roman" w:eastAsia="Times New Roman" w:hAnsi="Times New Roman" w:cs="Times New Roman"/>
                <w:lang w:eastAsia="en-IE"/>
              </w:rPr>
              <w:t>(517,082)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5D0A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IE"/>
              </w:rPr>
            </w:pPr>
          </w:p>
        </w:tc>
      </w:tr>
      <w:tr w:rsidR="00700A68" w:rsidRPr="00700A68" w14:paraId="057A350F" w14:textId="77777777" w:rsidTr="007F2BE2">
        <w:trPr>
          <w:trHeight w:val="13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8282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857B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6166" w14:textId="77777777" w:rsidR="00700A68" w:rsidRPr="00700A68" w:rsidRDefault="00700A68" w:rsidP="0070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7C38" w14:textId="77777777" w:rsidR="00700A68" w:rsidRPr="00700A68" w:rsidRDefault="00700A68" w:rsidP="00700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00A68" w:rsidRPr="00700A68" w14:paraId="585972E6" w14:textId="77777777" w:rsidTr="007F2BE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2337" w14:textId="77777777" w:rsidR="00700A68" w:rsidRPr="00700A68" w:rsidRDefault="00700A68" w:rsidP="00700A6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Unrealised gains on f</w:t>
            </w: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inancial investment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D99C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85,274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0D57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80,941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8A03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031DFD0A" w14:textId="77777777" w:rsidTr="007F2BE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CB46" w14:textId="77777777" w:rsidR="00700A68" w:rsidRPr="00700A68" w:rsidRDefault="00700A68" w:rsidP="00700A6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Interest income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47F1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10,709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F125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21,444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F760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6A343849" w14:textId="77777777" w:rsidTr="007F2BE2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0FF9" w14:textId="77777777" w:rsidR="00700A68" w:rsidRPr="00700A68" w:rsidRDefault="00700A68" w:rsidP="00700A6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Taxation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84CC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(23,188)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5F92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25,386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5F99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156F5586" w14:textId="77777777" w:rsidTr="007F2BE2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4233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Loss after taxation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89E22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(126,519)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73EB8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(389,311)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CD72" w14:textId="77777777" w:rsidR="00700A68" w:rsidRPr="00700A68" w:rsidRDefault="00700A68" w:rsidP="00700A6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</w:tbl>
    <w:p w14:paraId="6B30B79D" w14:textId="77777777" w:rsidR="00676977" w:rsidRDefault="00676977">
      <w:pPr>
        <w:jc w:val="both"/>
        <w:rPr>
          <w:rFonts w:ascii="Century Gothic" w:hAnsi="Century Gothic"/>
        </w:rPr>
      </w:pPr>
    </w:p>
    <w:p w14:paraId="0BD9BA42" w14:textId="77777777" w:rsidR="00676977" w:rsidRDefault="00676977" w:rsidP="00676977">
      <w:pPr>
        <w:autoSpaceDE w:val="0"/>
        <w:autoSpaceDN w:val="0"/>
        <w:adjustRightInd w:val="0"/>
        <w:snapToGrid w:val="0"/>
        <w:spacing w:after="0" w:line="240" w:lineRule="auto"/>
        <w:rPr>
          <w:rFonts w:ascii="DIN-Light" w:eastAsia="Times New Roman" w:hAnsi="DIN-Light" w:cs="DIN-Light"/>
          <w:color w:val="000000"/>
          <w:sz w:val="16"/>
          <w:szCs w:val="24"/>
          <w:lang w:val="x-none"/>
        </w:rPr>
      </w:pPr>
      <w:r>
        <w:rPr>
          <w:rFonts w:ascii="DIN-Light" w:eastAsia="Times New Roman" w:hAnsi="DIN-Light" w:cs="DIN-Light"/>
          <w:color w:val="000000"/>
          <w:sz w:val="17"/>
          <w:szCs w:val="24"/>
        </w:rPr>
        <w:t>** T</w:t>
      </w:r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>he operating loss reflects expenditure of</w:t>
      </w:r>
      <w:r>
        <w:rPr>
          <w:rFonts w:ascii="DIN-Light" w:eastAsia="Times New Roman" w:hAnsi="DIN-Light" w:cs="DIN-Light"/>
          <w:color w:val="000000"/>
          <w:sz w:val="17"/>
          <w:szCs w:val="24"/>
        </w:rPr>
        <w:t xml:space="preserve"> </w:t>
      </w:r>
      <w:r>
        <w:rPr>
          <w:rFonts w:ascii="EuroSansStd-Regular" w:eastAsia="Times New Roman" w:hAnsi="EuroSansStd-Regular" w:cs="EuroSansStd-Regular"/>
          <w:color w:val="000000"/>
          <w:sz w:val="17"/>
          <w:szCs w:val="24"/>
          <w:lang w:val="x-none"/>
        </w:rPr>
        <w:t>€</w:t>
      </w:r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>273,000 during the year ended 31 December 2016, reflecting the</w:t>
      </w:r>
      <w:r>
        <w:rPr>
          <w:rFonts w:ascii="DIN-Light" w:eastAsia="Times New Roman" w:hAnsi="DIN-Light" w:cs="DIN-Light"/>
          <w:color w:val="000000"/>
          <w:sz w:val="17"/>
          <w:szCs w:val="24"/>
        </w:rPr>
        <w:t xml:space="preserve"> </w:t>
      </w:r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>extension of the 2015 Strategic Development Fund with a dedicated 2016 budget of</w:t>
      </w:r>
      <w:r>
        <w:rPr>
          <w:rFonts w:ascii="DIN-Light" w:eastAsia="Times New Roman" w:hAnsi="DIN-Light" w:cs="DIN-Light"/>
          <w:color w:val="000000"/>
          <w:sz w:val="17"/>
          <w:szCs w:val="24"/>
        </w:rPr>
        <w:t xml:space="preserve"> </w:t>
      </w:r>
      <w:r>
        <w:rPr>
          <w:rFonts w:ascii="EuroSansStd-Regular" w:eastAsia="Times New Roman" w:hAnsi="EuroSansStd-Regular" w:cs="EuroSansStd-Regular"/>
          <w:color w:val="000000"/>
          <w:sz w:val="17"/>
          <w:szCs w:val="24"/>
          <w:lang w:val="x-none"/>
        </w:rPr>
        <w:t>€</w:t>
      </w:r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>322,000 to finance a set</w:t>
      </w:r>
      <w:r>
        <w:rPr>
          <w:rFonts w:ascii="DIN-Light" w:eastAsia="Times New Roman" w:hAnsi="DIN-Light" w:cs="DIN-Light"/>
          <w:color w:val="000000"/>
          <w:sz w:val="17"/>
          <w:szCs w:val="24"/>
        </w:rPr>
        <w:t xml:space="preserve"> </w:t>
      </w:r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>of promotion, marketing and customer service initiatives to meet the strategic objectives and priorities of</w:t>
      </w:r>
      <w:r>
        <w:rPr>
          <w:rFonts w:ascii="DIN-Light" w:eastAsia="Times New Roman" w:hAnsi="DIN-Light" w:cs="DIN-Light"/>
          <w:color w:val="000000"/>
          <w:sz w:val="17"/>
          <w:szCs w:val="24"/>
        </w:rPr>
        <w:t xml:space="preserve"> </w:t>
      </w:r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>expansion and protection of the .</w:t>
      </w:r>
      <w:proofErr w:type="spellStart"/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>ie</w:t>
      </w:r>
      <w:proofErr w:type="spellEnd"/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 xml:space="preserve"> namespace. This fund financed an integrated radio and digital awareness</w:t>
      </w:r>
      <w:r>
        <w:rPr>
          <w:rFonts w:ascii="DIN-Light" w:eastAsia="Times New Roman" w:hAnsi="DIN-Light" w:cs="DIN-Light"/>
          <w:color w:val="000000"/>
          <w:sz w:val="17"/>
          <w:szCs w:val="24"/>
        </w:rPr>
        <w:t xml:space="preserve"> </w:t>
      </w:r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 xml:space="preserve">campaign, an extension of the </w:t>
      </w:r>
      <w:r>
        <w:rPr>
          <w:rFonts w:ascii="DIN-Light" w:eastAsia="Times New Roman" w:hAnsi="DIN-Light" w:cs="DIN-Light"/>
          <w:color w:val="000000"/>
          <w:sz w:val="17"/>
          <w:szCs w:val="24"/>
        </w:rPr>
        <w:t xml:space="preserve"> </w:t>
      </w:r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>successful OPTIMISE program, publications backed by robust independent</w:t>
      </w:r>
      <w:r>
        <w:rPr>
          <w:rFonts w:ascii="DIN-Light" w:eastAsia="Times New Roman" w:hAnsi="DIN-Light" w:cs="DIN-Light"/>
          <w:color w:val="000000"/>
          <w:sz w:val="17"/>
          <w:szCs w:val="24"/>
        </w:rPr>
        <w:t xml:space="preserve"> </w:t>
      </w:r>
      <w:r>
        <w:rPr>
          <w:rFonts w:ascii="DIN-Light" w:eastAsia="Times New Roman" w:hAnsi="DIN-Light" w:cs="DIN-Light"/>
          <w:color w:val="000000"/>
          <w:sz w:val="17"/>
          <w:szCs w:val="24"/>
          <w:lang w:val="x-none"/>
        </w:rPr>
        <w:t>research, new services for customers and Ireland’s Internet Day.</w:t>
      </w:r>
      <w:r>
        <w:rPr>
          <w:rFonts w:ascii="DIN-Light" w:eastAsia="Times New Roman" w:hAnsi="DIN-Light" w:cs="DIN-Light"/>
          <w:color w:val="000000"/>
          <w:sz w:val="17"/>
          <w:szCs w:val="24"/>
        </w:rPr>
        <w:t xml:space="preserve"> </w:t>
      </w:r>
    </w:p>
    <w:tbl>
      <w:tblPr>
        <w:tblW w:w="7755" w:type="dxa"/>
        <w:tblLook w:val="04A0" w:firstRow="1" w:lastRow="0" w:firstColumn="1" w:lastColumn="0" w:noHBand="0" w:noVBand="1"/>
      </w:tblPr>
      <w:tblGrid>
        <w:gridCol w:w="4395"/>
        <w:gridCol w:w="1540"/>
        <w:gridCol w:w="1540"/>
        <w:gridCol w:w="280"/>
      </w:tblGrid>
      <w:tr w:rsidR="00700A68" w:rsidRPr="00700A68" w14:paraId="045906C2" w14:textId="77777777" w:rsidTr="00305D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2063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4877" w14:textId="77777777" w:rsidR="00700A68" w:rsidRPr="00700A68" w:rsidRDefault="00700A68" w:rsidP="00305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B02F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C255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700A68" w:rsidRPr="00700A68" w14:paraId="4406CCCB" w14:textId="77777777" w:rsidTr="00305DA9">
        <w:trPr>
          <w:trHeight w:val="49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4E5B7" w14:textId="77777777" w:rsidR="00700A68" w:rsidRPr="00700A68" w:rsidRDefault="00700A68" w:rsidP="00305DA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IE"/>
              </w:rPr>
              <w:t>Balance Sheet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D81E2" w14:textId="77777777" w:rsidR="00700A68" w:rsidRPr="00700A68" w:rsidRDefault="00700A68" w:rsidP="00305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At 31 December 2016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CA43A" w14:textId="77777777" w:rsidR="00700A68" w:rsidRPr="00700A68" w:rsidRDefault="00700A68" w:rsidP="00305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  <w:t>At 31 December 2015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518D7" w14:textId="77777777" w:rsidR="00700A68" w:rsidRPr="00700A68" w:rsidRDefault="00700A68" w:rsidP="00305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E"/>
              </w:rPr>
            </w:pPr>
          </w:p>
        </w:tc>
      </w:tr>
      <w:tr w:rsidR="00700A68" w:rsidRPr="00700A68" w14:paraId="479C907D" w14:textId="77777777" w:rsidTr="00305D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55AC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7DBB" w14:textId="77777777" w:rsidR="00700A68" w:rsidRPr="00700A68" w:rsidRDefault="00700A68" w:rsidP="00305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2508" w14:textId="77777777" w:rsidR="00700A68" w:rsidRPr="00700A68" w:rsidRDefault="00700A68" w:rsidP="00305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€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F834A" w14:textId="77777777" w:rsidR="00700A68" w:rsidRPr="00700A68" w:rsidRDefault="00700A68" w:rsidP="00305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</w:p>
        </w:tc>
      </w:tr>
      <w:tr w:rsidR="00700A68" w:rsidRPr="00700A68" w14:paraId="6C6C0B53" w14:textId="77777777" w:rsidTr="00305D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E6BF" w14:textId="77777777" w:rsidR="00700A68" w:rsidRPr="00700A68" w:rsidRDefault="00700A68" w:rsidP="00305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Fixed Assets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1755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164,039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11F1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163,762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F9E8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1693DED8" w14:textId="77777777" w:rsidTr="00305D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6B63" w14:textId="77777777" w:rsidR="00700A68" w:rsidRPr="00700A68" w:rsidRDefault="00700A68" w:rsidP="00305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Investments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6EBC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3,245,089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FDDC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3,159,815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B96A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32633282" w14:textId="77777777" w:rsidTr="00305D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B4F3" w14:textId="77777777" w:rsidR="00700A68" w:rsidRPr="00700A68" w:rsidRDefault="00700A68" w:rsidP="00305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Current Assets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95C3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3,139,923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1841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2,801,697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5B37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26B5E2D3" w14:textId="77777777" w:rsidTr="00305D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83CA" w14:textId="77777777" w:rsidR="00700A68" w:rsidRPr="00700A68" w:rsidRDefault="00700A68" w:rsidP="00305D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Creditors &lt;1 year,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98B3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(874,362)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ED56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(437,514)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BBB5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3321C9EE" w14:textId="77777777" w:rsidTr="00305D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8ADA" w14:textId="77777777" w:rsidR="00700A68" w:rsidRPr="00700A68" w:rsidRDefault="00700A68" w:rsidP="00305DA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excluding Deferred Income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8AA3" w14:textId="77777777" w:rsidR="00700A68" w:rsidRPr="00700A68" w:rsidRDefault="00700A68" w:rsidP="00305DA9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66F6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B9362" w14:textId="77777777" w:rsidR="00700A68" w:rsidRPr="00700A68" w:rsidRDefault="00700A68" w:rsidP="00305D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60D633B5" w14:textId="77777777" w:rsidTr="00305D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7333" w14:textId="77777777" w:rsidR="00700A68" w:rsidRPr="00700A68" w:rsidRDefault="00700A68" w:rsidP="00305DA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 xml:space="preserve">Deferred Income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26CC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(2,049,351)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2D96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(1,970,724)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A64A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61C97707" w14:textId="77777777" w:rsidTr="00305DA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83E5" w14:textId="77777777" w:rsidR="00700A68" w:rsidRPr="00700A68" w:rsidRDefault="00700A68" w:rsidP="00305D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Creditors &gt;1 year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9334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(34,821)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EF69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477E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6C6883CF" w14:textId="77777777" w:rsidTr="00305DA9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219C" w14:textId="77777777" w:rsidR="00700A68" w:rsidRPr="00700A68" w:rsidRDefault="00700A68" w:rsidP="00305D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E"/>
              </w:rPr>
              <w:t>Members' Funds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E1DE3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3,590,517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D5A7E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  <w:r w:rsidRPr="00700A68">
              <w:rPr>
                <w:rFonts w:ascii="Arial" w:eastAsia="Times New Roman" w:hAnsi="Arial" w:cs="Arial"/>
                <w:sz w:val="20"/>
                <w:szCs w:val="20"/>
                <w:lang w:eastAsia="en-IE"/>
              </w:rPr>
              <w:t>3,717,036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6320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E"/>
              </w:rPr>
            </w:pPr>
          </w:p>
        </w:tc>
      </w:tr>
      <w:tr w:rsidR="00700A68" w:rsidRPr="00700A68" w14:paraId="07CFA178" w14:textId="77777777" w:rsidTr="00305DA9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9D75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4249" w14:textId="77777777" w:rsidR="00700A68" w:rsidRPr="00700A68" w:rsidRDefault="00700A68" w:rsidP="00305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A782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2C62" w14:textId="77777777" w:rsidR="00700A68" w:rsidRPr="00700A68" w:rsidRDefault="00700A68" w:rsidP="00305D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14:paraId="4372215B" w14:textId="77777777" w:rsidR="00676977" w:rsidRDefault="00676977">
      <w:pPr>
        <w:jc w:val="both"/>
        <w:rPr>
          <w:rFonts w:ascii="Century Gothic" w:hAnsi="Century Gothic"/>
          <w:b/>
        </w:rPr>
      </w:pPr>
    </w:p>
    <w:p w14:paraId="371B4AA5" w14:textId="77777777" w:rsidR="003829FC" w:rsidRDefault="003829FC">
      <w:pPr>
        <w:jc w:val="both"/>
        <w:rPr>
          <w:rFonts w:ascii="Century Gothic" w:hAnsi="Century Gothic"/>
        </w:rPr>
      </w:pPr>
    </w:p>
    <w:p w14:paraId="2D0B5AF5" w14:textId="77777777" w:rsidR="003829FC" w:rsidRPr="0050088E" w:rsidRDefault="003829F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sectPr w:rsidR="003829FC" w:rsidRPr="0050088E" w:rsidSect="0067697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roSansSt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FD7"/>
    <w:multiLevelType w:val="hybridMultilevel"/>
    <w:tmpl w:val="2B54AD1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78533D"/>
    <w:multiLevelType w:val="hybridMultilevel"/>
    <w:tmpl w:val="1B862F78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22E6FE2-317B-48A5-826D-C6D4D6DC9F3E}"/>
    <w:docVar w:name="dgnword-eventsink" w:val="218673328"/>
  </w:docVars>
  <w:rsids>
    <w:rsidRoot w:val="00835760"/>
    <w:rsid w:val="0000593E"/>
    <w:rsid w:val="00034166"/>
    <w:rsid w:val="000559EE"/>
    <w:rsid w:val="00091E88"/>
    <w:rsid w:val="001214D1"/>
    <w:rsid w:val="001A0A73"/>
    <w:rsid w:val="001E3B94"/>
    <w:rsid w:val="0026199D"/>
    <w:rsid w:val="002E5F29"/>
    <w:rsid w:val="003829FC"/>
    <w:rsid w:val="00385A8D"/>
    <w:rsid w:val="00455850"/>
    <w:rsid w:val="0050088E"/>
    <w:rsid w:val="00515EDD"/>
    <w:rsid w:val="00566CD0"/>
    <w:rsid w:val="00676977"/>
    <w:rsid w:val="006C15F6"/>
    <w:rsid w:val="006E1F60"/>
    <w:rsid w:val="00700A68"/>
    <w:rsid w:val="007F2BE2"/>
    <w:rsid w:val="00823C2A"/>
    <w:rsid w:val="00835760"/>
    <w:rsid w:val="009715D4"/>
    <w:rsid w:val="009C4DE6"/>
    <w:rsid w:val="00AC650D"/>
    <w:rsid w:val="00B802E6"/>
    <w:rsid w:val="00C47985"/>
    <w:rsid w:val="00CE5827"/>
    <w:rsid w:val="00CF37C5"/>
    <w:rsid w:val="00D265F0"/>
    <w:rsid w:val="00D4278E"/>
    <w:rsid w:val="00DA1DB2"/>
    <w:rsid w:val="00DC1BB2"/>
    <w:rsid w:val="00E16BC3"/>
    <w:rsid w:val="00E36A70"/>
    <w:rsid w:val="00E83ABF"/>
    <w:rsid w:val="00EA662D"/>
    <w:rsid w:val="00EB2F6F"/>
    <w:rsid w:val="00F75E22"/>
    <w:rsid w:val="00F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860D"/>
  <w15:chartTrackingRefBased/>
  <w15:docId w15:val="{47C8E899-E304-4B8B-A289-B043694D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7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9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9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0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A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A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1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Burrowes</dc:creator>
  <cp:keywords/>
  <dc:description/>
  <cp:lastModifiedBy>Cathal McGivern</cp:lastModifiedBy>
  <cp:revision>4</cp:revision>
  <cp:lastPrinted>2017-07-17T12:33:00Z</cp:lastPrinted>
  <dcterms:created xsi:type="dcterms:W3CDTF">2017-07-18T14:48:00Z</dcterms:created>
  <dcterms:modified xsi:type="dcterms:W3CDTF">2017-12-19T14:38:00Z</dcterms:modified>
</cp:coreProperties>
</file>